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431047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431047">
              <w:rPr>
                <w:rFonts w:ascii="Calibri"/>
                <w:b/>
                <w:sz w:val="17"/>
              </w:rPr>
              <w:t>diciembre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5B442D">
      <w:pPr>
        <w:pStyle w:val="Textoindependiente"/>
        <w:spacing w:before="56" w:after="15"/>
        <w:ind w:left="481"/>
      </w:pPr>
      <w:r w:rsidRPr="005B442D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5B442D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B442D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5B442D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B442D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5B442D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5B442D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B442D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5B442D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B442D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B442D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B442D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5B442D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B442D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5B442D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B442D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5B442D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5B442D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5B442D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5B442D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5B442D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5B442D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5B442D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5B442D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5B442D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5B442D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5B442D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5B442D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5B442D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5B442D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B442D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5B442D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5B442D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5B442D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5B442D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B442D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5B442D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5B442D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5B442D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B442D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B442D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5B442D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B442D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5B442D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5B442D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5B442D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5B442D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5B442D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5B442D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B442D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5B442D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B442D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5B442D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5B442D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431047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5B442D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B442D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B442D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5B442D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5B442D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31047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5B442D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5B442D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4447E"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5B442D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5B442D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5B442D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5B442D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431047">
            <w:r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 w:rsidTr="004D4BF2">
        <w:trPr>
          <w:trHeight w:val="486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697"/>
        </w:trPr>
        <w:tc>
          <w:tcPr>
            <w:tcW w:w="3430" w:type="dxa"/>
          </w:tcPr>
          <w:p w:rsidR="00431047" w:rsidRDefault="0043104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31047" w:rsidRDefault="00431047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31047" w:rsidRDefault="00431047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31047" w:rsidRDefault="00431047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431047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5B442D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5B442D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491"/>
        </w:trPr>
        <w:tc>
          <w:tcPr>
            <w:tcW w:w="3430" w:type="dxa"/>
          </w:tcPr>
          <w:p w:rsidR="00431047" w:rsidRDefault="00431047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01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01"/>
        </w:trPr>
        <w:tc>
          <w:tcPr>
            <w:tcW w:w="3430" w:type="dxa"/>
          </w:tcPr>
          <w:p w:rsidR="00431047" w:rsidRDefault="00431047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431047" w:rsidRDefault="00431047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496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03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697"/>
        </w:trPr>
        <w:tc>
          <w:tcPr>
            <w:tcW w:w="3430" w:type="dxa"/>
          </w:tcPr>
          <w:p w:rsidR="00431047" w:rsidRDefault="0043104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31047" w:rsidRDefault="00431047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431047" w:rsidRDefault="00431047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31047" w:rsidRDefault="0043104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431047" w:rsidRDefault="00431047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0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31047" w:rsidRDefault="00431047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03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31047" w:rsidRDefault="00431047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03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431047" w:rsidRDefault="00431047">
            <w:r w:rsidRPr="001622A5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431047" w:rsidRDefault="00431047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431047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31047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431047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431047" w:rsidRDefault="00431047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31047" w:rsidRDefault="00431047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431047" w:rsidRDefault="00431047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431047" w:rsidRDefault="00431047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431047" w:rsidRDefault="00431047">
            <w:r w:rsidRPr="00396CB6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431047" w:rsidRDefault="00431047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431047" w:rsidRDefault="00431047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431047">
        <w:trPr>
          <w:trHeight w:val="546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31047" w:rsidRDefault="00431047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431047" w:rsidRDefault="00431047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31047" w:rsidRDefault="00431047">
            <w:r w:rsidRPr="00396CB6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7" w:type="dxa"/>
          </w:tcPr>
          <w:p w:rsidR="00431047" w:rsidRDefault="00431047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431047" w:rsidRDefault="00431047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357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431047" w:rsidRDefault="00431047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431047" w:rsidRDefault="00431047">
            <w:r w:rsidRPr="00396CB6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7" w:type="dxa"/>
          </w:tcPr>
          <w:p w:rsidR="00431047" w:rsidRDefault="00431047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494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4B3F30" w:rsidRDefault="004B3F30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4B3F30" w:rsidRDefault="005B442D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4B3F3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4B3F30">
              <w:rPr>
                <w:color w:val="0000FF"/>
                <w:w w:val="70"/>
                <w:sz w:val="16"/>
              </w:rPr>
              <w:t xml:space="preserve"> </w:t>
            </w:r>
            <w:r w:rsidR="004B3F30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4B3F30" w:rsidRDefault="004B3F30">
            <w:r w:rsidRPr="006E12CE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47" w:type="dxa"/>
          </w:tcPr>
          <w:p w:rsidR="004B3F30" w:rsidRDefault="004B3F30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B3F30">
        <w:trPr>
          <w:trHeight w:val="364"/>
        </w:trPr>
        <w:tc>
          <w:tcPr>
            <w:tcW w:w="3430" w:type="dxa"/>
          </w:tcPr>
          <w:p w:rsidR="004B3F30" w:rsidRDefault="004B3F30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4B3F30" w:rsidRDefault="004B3F30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4B3F30" w:rsidRDefault="005B442D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4B3F30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4B3F30" w:rsidRDefault="004B3F30">
            <w:r w:rsidRPr="006E12CE">
              <w:rPr>
                <w:rFonts w:ascii="Calibri"/>
                <w:b/>
                <w:sz w:val="17"/>
              </w:rPr>
              <w:t>10 OCTUBRE 2024</w:t>
            </w:r>
          </w:p>
        </w:tc>
        <w:tc>
          <w:tcPr>
            <w:tcW w:w="2047" w:type="dxa"/>
          </w:tcPr>
          <w:p w:rsidR="004B3F30" w:rsidRDefault="004B3F30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5B442D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31047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431047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5B442D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31047"/>
    <w:rsid w:val="004B3F30"/>
    <w:rsid w:val="004D4BF2"/>
    <w:rsid w:val="005B442D"/>
    <w:rsid w:val="005C3A24"/>
    <w:rsid w:val="005F6C86"/>
    <w:rsid w:val="007472CE"/>
    <w:rsid w:val="00755243"/>
    <w:rsid w:val="00774EC2"/>
    <w:rsid w:val="00777921"/>
    <w:rsid w:val="007A1F34"/>
    <w:rsid w:val="007B55FD"/>
    <w:rsid w:val="0082097F"/>
    <w:rsid w:val="00833160"/>
    <w:rsid w:val="00883936"/>
    <w:rsid w:val="008A42AC"/>
    <w:rsid w:val="008A62C2"/>
    <w:rsid w:val="008E0BC4"/>
    <w:rsid w:val="0092176E"/>
    <w:rsid w:val="0098571E"/>
    <w:rsid w:val="00A4447E"/>
    <w:rsid w:val="00B6627A"/>
    <w:rsid w:val="00C6495F"/>
    <w:rsid w:val="00CB2213"/>
    <w:rsid w:val="00CB62DB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7082</Words>
  <Characters>38951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2024-12-17T21:46:00Z</dcterms:created>
  <dcterms:modified xsi:type="dcterms:W3CDTF">2024-12-17T21:46:00Z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