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FD" w:rsidRDefault="002838C1">
      <w:pPr>
        <w:pStyle w:val="Normal1"/>
        <w:rPr>
          <w:b/>
          <w:sz w:val="18"/>
          <w:szCs w:val="18"/>
        </w:rPr>
      </w:pPr>
      <w:bookmarkStart w:id="0" w:name="_GoBack"/>
      <w:bookmarkEnd w:id="0"/>
      <w:r>
        <w:rPr>
          <w:noProof/>
          <w:lang w:val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-48895</wp:posOffset>
            </wp:positionV>
            <wp:extent cx="990600" cy="800100"/>
            <wp:effectExtent l="0" t="0" r="0" b="0"/>
            <wp:wrapNone/>
            <wp:docPr id="2" name="image2.png" descr="logo-coe-nue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-coe-nuevo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36C53">
        <w:rPr>
          <w:noProof/>
          <w:lang w:val="es-DO"/>
        </w:rPr>
        <w:drawing>
          <wp:anchor distT="0" distB="0" distL="114300" distR="127000" simplePos="0" relativeHeight="251658240" behindDoc="0" locked="0" layoutInCell="1" allowOverlap="1">
            <wp:simplePos x="0" y="0"/>
            <wp:positionH relativeFrom="margin">
              <wp:posOffset>2016125</wp:posOffset>
            </wp:positionH>
            <wp:positionV relativeFrom="margin">
              <wp:posOffset>-894715</wp:posOffset>
            </wp:positionV>
            <wp:extent cx="1863090" cy="748665"/>
            <wp:effectExtent l="19050" t="0" r="3810" b="0"/>
            <wp:wrapSquare wrapText="bothSides" distT="0" distB="0" distL="114300" distR="1270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748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27FD" w:rsidRDefault="00236C53">
      <w:pPr>
        <w:pStyle w:val="Normal1"/>
        <w:jc w:val="center"/>
        <w:rPr>
          <w:b/>
          <w:color w:val="C00000"/>
          <w:sz w:val="21"/>
          <w:szCs w:val="21"/>
        </w:rPr>
      </w:pPr>
      <w:bookmarkStart w:id="1" w:name="_gjdgxs" w:colFirst="0" w:colLast="0"/>
      <w:bookmarkEnd w:id="1"/>
      <w:r>
        <w:rPr>
          <w:b/>
          <w:color w:val="C00000"/>
          <w:sz w:val="21"/>
          <w:szCs w:val="21"/>
        </w:rPr>
        <w:t xml:space="preserve">          </w:t>
      </w:r>
      <w:r w:rsidR="001E2F24">
        <w:rPr>
          <w:b/>
          <w:color w:val="C00000"/>
          <w:sz w:val="21"/>
          <w:szCs w:val="21"/>
        </w:rPr>
        <w:t>CENTRO DE OPERACIONES DE EMERGENCIAS</w:t>
      </w:r>
    </w:p>
    <w:p w:rsidR="00FD27FD" w:rsidRDefault="00236C53">
      <w:pPr>
        <w:pStyle w:val="Normal1"/>
        <w:jc w:val="center"/>
        <w:rPr>
          <w:b/>
          <w:color w:val="C00000"/>
          <w:sz w:val="21"/>
          <w:szCs w:val="21"/>
        </w:rPr>
      </w:pPr>
      <w:r>
        <w:rPr>
          <w:b/>
          <w:color w:val="C00000"/>
          <w:sz w:val="21"/>
          <w:szCs w:val="21"/>
        </w:rPr>
        <w:t xml:space="preserve"> </w:t>
      </w:r>
      <w:r w:rsidR="001E2F24">
        <w:rPr>
          <w:b/>
          <w:color w:val="C00000"/>
          <w:sz w:val="21"/>
          <w:szCs w:val="21"/>
        </w:rPr>
        <w:t xml:space="preserve">   C. O. E</w:t>
      </w:r>
    </w:p>
    <w:p w:rsidR="00FD27FD" w:rsidRDefault="001E2F24">
      <w:pPr>
        <w:pStyle w:val="Normal1"/>
        <w:jc w:val="center"/>
        <w:rPr>
          <w:rFonts w:ascii="Arial" w:eastAsia="Arial" w:hAnsi="Arial" w:cs="Arial"/>
          <w:b/>
          <w:color w:val="404040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>
        <w:rPr>
          <w:b/>
          <w:i/>
        </w:rPr>
        <w:t xml:space="preserve">                                                  </w:t>
      </w:r>
    </w:p>
    <w:p w:rsidR="00FD27FD" w:rsidRDefault="00FD27FD">
      <w:pPr>
        <w:pStyle w:val="Normal1"/>
        <w:ind w:right="219"/>
        <w:jc w:val="both"/>
        <w:rPr>
          <w:rFonts w:ascii="Arial" w:eastAsia="Arial" w:hAnsi="Arial" w:cs="Arial"/>
          <w:sz w:val="18"/>
          <w:szCs w:val="18"/>
        </w:rPr>
      </w:pPr>
    </w:p>
    <w:p w:rsidR="00FD27FD" w:rsidRDefault="001E2F24" w:rsidP="00236C53">
      <w:pPr>
        <w:pStyle w:val="Normal1"/>
        <w:ind w:left="3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</w:t>
      </w:r>
    </w:p>
    <w:p w:rsidR="00236C53" w:rsidRDefault="00236C53" w:rsidP="00236C53">
      <w:pPr>
        <w:pStyle w:val="Normal1"/>
        <w:jc w:val="center"/>
        <w:rPr>
          <w:rFonts w:ascii="Arial" w:eastAsia="Arial" w:hAnsi="Arial" w:cs="Arial"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>Santo Domingo, D. N.</w:t>
      </w:r>
    </w:p>
    <w:p w:rsidR="00236C53" w:rsidRDefault="00730707" w:rsidP="00236C53">
      <w:pPr>
        <w:pStyle w:val="Normal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C60E9A">
        <w:rPr>
          <w:rFonts w:ascii="Arial" w:eastAsia="Arial" w:hAnsi="Arial" w:cs="Arial"/>
          <w:sz w:val="18"/>
          <w:szCs w:val="18"/>
        </w:rPr>
        <w:t xml:space="preserve">         </w:t>
      </w:r>
      <w:r w:rsidR="00DA0166">
        <w:rPr>
          <w:rFonts w:ascii="Arial" w:eastAsia="Arial" w:hAnsi="Arial" w:cs="Arial"/>
          <w:sz w:val="18"/>
          <w:szCs w:val="18"/>
        </w:rPr>
        <w:t xml:space="preserve">                </w:t>
      </w:r>
      <w:r w:rsidR="00C21C32">
        <w:rPr>
          <w:rFonts w:ascii="Arial" w:eastAsia="Arial" w:hAnsi="Arial" w:cs="Arial"/>
          <w:sz w:val="18"/>
          <w:szCs w:val="18"/>
        </w:rPr>
        <w:t>11</w:t>
      </w:r>
      <w:r w:rsidR="00C60E9A">
        <w:rPr>
          <w:rFonts w:ascii="Arial" w:eastAsia="Arial" w:hAnsi="Arial" w:cs="Arial"/>
          <w:sz w:val="18"/>
          <w:szCs w:val="18"/>
        </w:rPr>
        <w:t xml:space="preserve"> de septiembre</w:t>
      </w:r>
      <w:r w:rsidR="00236C53">
        <w:rPr>
          <w:rFonts w:ascii="Arial" w:eastAsia="Arial" w:hAnsi="Arial" w:cs="Arial"/>
          <w:sz w:val="18"/>
          <w:szCs w:val="18"/>
        </w:rPr>
        <w:t>, 2021</w:t>
      </w:r>
    </w:p>
    <w:p w:rsidR="002B24B7" w:rsidRDefault="00C81673" w:rsidP="00236C53">
      <w:pPr>
        <w:pStyle w:val="Normal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</w:t>
      </w:r>
      <w:r w:rsidR="000C2F84">
        <w:rPr>
          <w:rFonts w:ascii="Arial" w:eastAsia="Arial" w:hAnsi="Arial" w:cs="Arial"/>
          <w:b/>
          <w:sz w:val="22"/>
          <w:szCs w:val="22"/>
        </w:rPr>
        <w:t xml:space="preserve">                      </w:t>
      </w:r>
    </w:p>
    <w:p w:rsidR="00236C53" w:rsidRDefault="002B24B7" w:rsidP="00236C53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</w:t>
      </w:r>
      <w:r w:rsidR="008F48EB">
        <w:rPr>
          <w:rFonts w:ascii="Arial" w:eastAsia="Arial" w:hAnsi="Arial" w:cs="Arial"/>
          <w:b/>
          <w:sz w:val="22"/>
          <w:szCs w:val="22"/>
        </w:rPr>
        <w:t xml:space="preserve"> AMPLIACIÓN DE</w:t>
      </w:r>
      <w:r w:rsidR="00730707">
        <w:rPr>
          <w:rFonts w:ascii="Arial" w:eastAsia="Arial" w:hAnsi="Arial" w:cs="Arial"/>
          <w:b/>
          <w:sz w:val="22"/>
          <w:szCs w:val="22"/>
        </w:rPr>
        <w:t xml:space="preserve"> ALERTA</w:t>
      </w:r>
    </w:p>
    <w:p w:rsidR="00236C53" w:rsidRDefault="00236C53" w:rsidP="00236C53">
      <w:pPr>
        <w:pStyle w:val="Normal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</w:t>
      </w:r>
      <w:r w:rsidR="00976D46">
        <w:rPr>
          <w:rFonts w:ascii="Arial" w:eastAsia="Arial" w:hAnsi="Arial" w:cs="Arial"/>
          <w:b/>
          <w:sz w:val="20"/>
          <w:szCs w:val="20"/>
        </w:rPr>
        <w:t xml:space="preserve">                            </w:t>
      </w:r>
      <w:r w:rsidR="001A1734">
        <w:rPr>
          <w:rFonts w:ascii="Arial" w:eastAsia="Arial" w:hAnsi="Arial" w:cs="Arial"/>
          <w:b/>
          <w:sz w:val="20"/>
          <w:szCs w:val="20"/>
        </w:rPr>
        <w:t>11</w:t>
      </w:r>
      <w:r w:rsidR="007E6F31">
        <w:rPr>
          <w:rFonts w:ascii="Arial" w:eastAsia="Arial" w:hAnsi="Arial" w:cs="Arial"/>
          <w:b/>
          <w:sz w:val="20"/>
          <w:szCs w:val="20"/>
        </w:rPr>
        <w:t>:3</w:t>
      </w:r>
      <w:r w:rsidR="001A1734">
        <w:rPr>
          <w:rFonts w:ascii="Arial" w:eastAsia="Arial" w:hAnsi="Arial" w:cs="Arial"/>
          <w:b/>
          <w:sz w:val="20"/>
          <w:szCs w:val="20"/>
        </w:rPr>
        <w:t>0 a</w:t>
      </w:r>
      <w:r>
        <w:rPr>
          <w:rFonts w:ascii="Arial" w:eastAsia="Arial" w:hAnsi="Arial" w:cs="Arial"/>
          <w:b/>
          <w:sz w:val="20"/>
          <w:szCs w:val="20"/>
        </w:rPr>
        <w:t>m</w:t>
      </w:r>
    </w:p>
    <w:p w:rsidR="00B5676A" w:rsidRDefault="00B5676A" w:rsidP="00236C53">
      <w:pPr>
        <w:pStyle w:val="Normal1"/>
        <w:rPr>
          <w:rFonts w:ascii="Arial" w:eastAsia="Arial" w:hAnsi="Arial" w:cs="Arial"/>
          <w:b/>
          <w:sz w:val="20"/>
          <w:szCs w:val="20"/>
        </w:rPr>
      </w:pPr>
    </w:p>
    <w:p w:rsidR="00B5676A" w:rsidRPr="00E26CB3" w:rsidRDefault="00B5676A" w:rsidP="00236C53">
      <w:pPr>
        <w:pStyle w:val="Normal1"/>
        <w:rPr>
          <w:rFonts w:ascii="Arial" w:hAnsi="Arial" w:cs="Arial"/>
          <w:sz w:val="20"/>
          <w:szCs w:val="20"/>
        </w:rPr>
      </w:pPr>
    </w:p>
    <w:p w:rsidR="00696FDD" w:rsidRDefault="00236C53" w:rsidP="00AA4F27">
      <w:pPr>
        <w:jc w:val="both"/>
        <w:rPr>
          <w:rFonts w:ascii="Arial" w:hAnsi="Arial" w:cs="Arial"/>
          <w:sz w:val="20"/>
          <w:szCs w:val="20"/>
        </w:rPr>
      </w:pPr>
      <w:r w:rsidRPr="00E26CB3">
        <w:rPr>
          <w:rFonts w:ascii="Arial" w:hAnsi="Arial" w:cs="Arial"/>
          <w:sz w:val="20"/>
          <w:szCs w:val="20"/>
        </w:rPr>
        <w:t>La Dirección del Centro de Operaciones de Emergencias (COE), informa que de acuerdo al</w:t>
      </w:r>
      <w:r w:rsidR="00C60E9A">
        <w:rPr>
          <w:rFonts w:ascii="Arial" w:hAnsi="Arial" w:cs="Arial"/>
          <w:sz w:val="20"/>
          <w:szCs w:val="20"/>
        </w:rPr>
        <w:t xml:space="preserve"> boletín meteorológico de las 11:00 a</w:t>
      </w:r>
      <w:r w:rsidRPr="00E26CB3">
        <w:rPr>
          <w:rFonts w:ascii="Arial" w:hAnsi="Arial" w:cs="Arial"/>
          <w:sz w:val="20"/>
          <w:szCs w:val="20"/>
        </w:rPr>
        <w:t>m del día de hoy, de la Oficina Nac</w:t>
      </w:r>
      <w:r w:rsidR="00696FDD">
        <w:rPr>
          <w:rFonts w:ascii="Arial" w:hAnsi="Arial" w:cs="Arial"/>
          <w:sz w:val="20"/>
          <w:szCs w:val="20"/>
        </w:rPr>
        <w:t xml:space="preserve">ional de Meteorología “ONAMET, </w:t>
      </w:r>
      <w:r w:rsidRPr="00E26CB3">
        <w:rPr>
          <w:rFonts w:ascii="Arial" w:hAnsi="Arial" w:cs="Arial"/>
          <w:sz w:val="20"/>
          <w:szCs w:val="20"/>
        </w:rPr>
        <w:t xml:space="preserve">el cual establece </w:t>
      </w:r>
      <w:r w:rsidR="00551B1D">
        <w:rPr>
          <w:rFonts w:ascii="Arial" w:hAnsi="Arial" w:cs="Arial"/>
          <w:sz w:val="20"/>
          <w:szCs w:val="20"/>
        </w:rPr>
        <w:t>que</w:t>
      </w:r>
      <w:r w:rsidR="00AA4F27" w:rsidRPr="00AA4F27">
        <w:rPr>
          <w:rFonts w:ascii="Arial" w:hAnsi="Arial" w:cs="Arial"/>
          <w:sz w:val="20"/>
          <w:szCs w:val="20"/>
        </w:rPr>
        <w:t xml:space="preserve"> </w:t>
      </w:r>
      <w:r w:rsidR="00696FDD">
        <w:rPr>
          <w:rFonts w:ascii="Arial" w:hAnsi="Arial" w:cs="Arial"/>
          <w:sz w:val="20"/>
          <w:szCs w:val="20"/>
        </w:rPr>
        <w:t>d</w:t>
      </w:r>
      <w:r w:rsidR="00696FDD" w:rsidRPr="00696FDD">
        <w:rPr>
          <w:rFonts w:ascii="Arial" w:hAnsi="Arial" w:cs="Arial"/>
          <w:sz w:val="20"/>
          <w:szCs w:val="20"/>
        </w:rPr>
        <w:t>esde las primeras horas de la mañana, se han mostrado ingresos de campos nubosos en algunas provinc</w:t>
      </w:r>
      <w:r w:rsidR="00696FDD">
        <w:rPr>
          <w:rFonts w:ascii="Arial" w:hAnsi="Arial" w:cs="Arial"/>
          <w:sz w:val="20"/>
          <w:szCs w:val="20"/>
        </w:rPr>
        <w:t xml:space="preserve">ias ubicadas en el noreste y la </w:t>
      </w:r>
      <w:r w:rsidR="00696FDD" w:rsidRPr="00696FDD">
        <w:rPr>
          <w:rFonts w:ascii="Arial" w:hAnsi="Arial" w:cs="Arial"/>
          <w:sz w:val="20"/>
          <w:szCs w:val="20"/>
        </w:rPr>
        <w:t>porción oriental del país, dond</w:t>
      </w:r>
      <w:r w:rsidR="000A29B2">
        <w:rPr>
          <w:rFonts w:ascii="Arial" w:hAnsi="Arial" w:cs="Arial"/>
          <w:sz w:val="20"/>
          <w:szCs w:val="20"/>
        </w:rPr>
        <w:t xml:space="preserve">e ocurren precipitaciones y tronadas aisladas. En la tarde se prevé </w:t>
      </w:r>
      <w:r w:rsidR="00696FDD" w:rsidRPr="00696FDD">
        <w:rPr>
          <w:rFonts w:ascii="Arial" w:hAnsi="Arial" w:cs="Arial"/>
          <w:sz w:val="20"/>
          <w:szCs w:val="20"/>
        </w:rPr>
        <w:t>un aumento de la humedad e inestabilidad provocado por una vaguada en diferentes niveles de la tro</w:t>
      </w:r>
      <w:r w:rsidR="00696FDD">
        <w:rPr>
          <w:rFonts w:ascii="Arial" w:hAnsi="Arial" w:cs="Arial"/>
          <w:sz w:val="20"/>
          <w:szCs w:val="20"/>
        </w:rPr>
        <w:t xml:space="preserve">posfera, esperándose hasta bien </w:t>
      </w:r>
      <w:r w:rsidR="00696FDD" w:rsidRPr="00696FDD">
        <w:rPr>
          <w:rFonts w:ascii="Arial" w:hAnsi="Arial" w:cs="Arial"/>
          <w:sz w:val="20"/>
          <w:szCs w:val="20"/>
        </w:rPr>
        <w:t>entrada la noche desarrollos nubosos acompañados de aguaceros siendo moderados a fuertes localm</w:t>
      </w:r>
      <w:r w:rsidR="00696FDD">
        <w:rPr>
          <w:rFonts w:ascii="Arial" w:hAnsi="Arial" w:cs="Arial"/>
          <w:sz w:val="20"/>
          <w:szCs w:val="20"/>
        </w:rPr>
        <w:t xml:space="preserve">ente con tormentas eléctricas y </w:t>
      </w:r>
      <w:r w:rsidR="00696FDD" w:rsidRPr="00696FDD">
        <w:rPr>
          <w:rFonts w:ascii="Arial" w:hAnsi="Arial" w:cs="Arial"/>
          <w:sz w:val="20"/>
          <w:szCs w:val="20"/>
        </w:rPr>
        <w:t xml:space="preserve">ocasionales ráfagas de viento, principalmente hacia las regiones: norte, noreste, sureste (Incluyendo el </w:t>
      </w:r>
      <w:r w:rsidR="00696FDD">
        <w:rPr>
          <w:rFonts w:ascii="Arial" w:hAnsi="Arial" w:cs="Arial"/>
          <w:sz w:val="20"/>
          <w:szCs w:val="20"/>
        </w:rPr>
        <w:t xml:space="preserve">Gran Santo Domingo), Cordillera </w:t>
      </w:r>
      <w:r w:rsidR="00696FDD" w:rsidRPr="00696FDD">
        <w:rPr>
          <w:rFonts w:ascii="Arial" w:hAnsi="Arial" w:cs="Arial"/>
          <w:sz w:val="20"/>
          <w:szCs w:val="20"/>
        </w:rPr>
        <w:t>Central y la zona fronteriza.</w:t>
      </w:r>
    </w:p>
    <w:p w:rsidR="00696FDD" w:rsidRPr="00551B1D" w:rsidRDefault="00696FDD" w:rsidP="00AA4F27">
      <w:pPr>
        <w:jc w:val="both"/>
        <w:rPr>
          <w:rFonts w:ascii="Arial" w:hAnsi="Arial" w:cs="Arial"/>
          <w:sz w:val="20"/>
          <w:szCs w:val="20"/>
        </w:rPr>
      </w:pPr>
    </w:p>
    <w:p w:rsidR="006156AC" w:rsidRPr="00E26CB3" w:rsidRDefault="00696FDD" w:rsidP="00730707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virtud de lo anterior y</w:t>
      </w:r>
      <w:r w:rsidR="006156AC" w:rsidRPr="00E26CB3">
        <w:rPr>
          <w:rFonts w:ascii="Arial" w:hAnsi="Arial" w:cs="Arial"/>
          <w:sz w:val="20"/>
          <w:szCs w:val="20"/>
        </w:rPr>
        <w:t xml:space="preserve"> lo establecido en el artículo 2 capítulo 1, de la Ley 14</w:t>
      </w:r>
      <w:r>
        <w:rPr>
          <w:rFonts w:ascii="Arial" w:hAnsi="Arial" w:cs="Arial"/>
          <w:sz w:val="20"/>
          <w:szCs w:val="20"/>
        </w:rPr>
        <w:t>7-02, sobre Gestión de Riesgos,</w:t>
      </w:r>
      <w:r w:rsidR="006156AC" w:rsidRPr="00E26CB3">
        <w:rPr>
          <w:rFonts w:ascii="Arial" w:hAnsi="Arial" w:cs="Arial"/>
          <w:sz w:val="20"/>
          <w:szCs w:val="20"/>
        </w:rPr>
        <w:t xml:space="preserve"> este Centro de Operaciones de Emergencias (COE), </w:t>
      </w:r>
      <w:r w:rsidR="00ED1C6C">
        <w:rPr>
          <w:rFonts w:ascii="Arial" w:hAnsi="Arial" w:cs="Arial"/>
          <w:b/>
          <w:sz w:val="20"/>
          <w:szCs w:val="20"/>
        </w:rPr>
        <w:t>AMPLIA el</w:t>
      </w:r>
      <w:r w:rsidR="006156AC" w:rsidRPr="00E26CB3">
        <w:rPr>
          <w:rFonts w:ascii="Arial" w:hAnsi="Arial" w:cs="Arial"/>
          <w:b/>
          <w:sz w:val="20"/>
          <w:szCs w:val="20"/>
        </w:rPr>
        <w:t xml:space="preserve"> Nivel de ALERTA VERDE</w:t>
      </w:r>
      <w:r w:rsidR="006156AC" w:rsidRPr="00E26CB3">
        <w:rPr>
          <w:rFonts w:ascii="Arial" w:hAnsi="Arial" w:cs="Arial"/>
          <w:sz w:val="20"/>
          <w:szCs w:val="20"/>
        </w:rPr>
        <w:t xml:space="preserve"> por posibles crecidas de ríos, arroyos y cañadas, así como inundaciones repentinas o urbanas, para las </w:t>
      </w:r>
      <w:r w:rsidR="00D24AC0" w:rsidRPr="00E26CB3">
        <w:rPr>
          <w:rFonts w:ascii="Arial" w:hAnsi="Arial" w:cs="Arial"/>
          <w:sz w:val="20"/>
          <w:szCs w:val="20"/>
        </w:rPr>
        <w:t>siguiente</w:t>
      </w:r>
      <w:r w:rsidR="00D24AC0">
        <w:rPr>
          <w:rFonts w:ascii="Arial" w:hAnsi="Arial" w:cs="Arial"/>
          <w:sz w:val="20"/>
          <w:szCs w:val="20"/>
        </w:rPr>
        <w:t xml:space="preserve">s </w:t>
      </w:r>
      <w:r w:rsidR="00D24AC0" w:rsidRPr="00E26CB3">
        <w:rPr>
          <w:rFonts w:ascii="Arial" w:hAnsi="Arial" w:cs="Arial"/>
          <w:sz w:val="20"/>
          <w:szCs w:val="20"/>
        </w:rPr>
        <w:t>Provincias</w:t>
      </w:r>
      <w:r w:rsidR="006156AC" w:rsidRPr="00E26CB3">
        <w:rPr>
          <w:rFonts w:ascii="Arial" w:hAnsi="Arial" w:cs="Arial"/>
          <w:sz w:val="20"/>
          <w:szCs w:val="20"/>
        </w:rPr>
        <w:t>:</w:t>
      </w:r>
    </w:p>
    <w:p w:rsidR="00730707" w:rsidRPr="00E26CB3" w:rsidRDefault="006162E7" w:rsidP="00730707">
      <w:pPr>
        <w:pStyle w:val="ochabulletpoint"/>
        <w:numPr>
          <w:ilvl w:val="0"/>
          <w:numId w:val="0"/>
        </w:numPr>
        <w:spacing w:after="0"/>
        <w:jc w:val="both"/>
        <w:rPr>
          <w:rFonts w:eastAsia="Times New Roman" w:cs="Arial"/>
          <w:b/>
          <w:color w:val="auto"/>
          <w:szCs w:val="20"/>
          <w:lang w:val="es-ES" w:eastAsia="es-DO"/>
        </w:rPr>
      </w:pPr>
      <w:r w:rsidRPr="00E26CB3">
        <w:rPr>
          <w:rFonts w:eastAsia="Times New Roman" w:cs="Arial"/>
          <w:b/>
          <w:color w:val="auto"/>
          <w:szCs w:val="20"/>
          <w:lang w:val="es-ES" w:eastAsia="es-DO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730707" w:rsidRPr="009D4E09" w:rsidTr="009D4E09">
        <w:trPr>
          <w:trHeight w:val="205"/>
        </w:trPr>
        <w:tc>
          <w:tcPr>
            <w:tcW w:w="9071" w:type="dxa"/>
            <w:gridSpan w:val="2"/>
            <w:shd w:val="clear" w:color="auto" w:fill="00B050"/>
          </w:tcPr>
          <w:p w:rsidR="00730707" w:rsidRPr="009D4E09" w:rsidRDefault="00730707" w:rsidP="009D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4E09">
              <w:rPr>
                <w:rFonts w:ascii="Arial" w:hAnsi="Arial" w:cs="Arial"/>
                <w:b/>
                <w:bCs/>
                <w:sz w:val="18"/>
                <w:szCs w:val="18"/>
              </w:rPr>
              <w:t>ALERTA VERDE</w:t>
            </w:r>
          </w:p>
        </w:tc>
      </w:tr>
      <w:tr w:rsidR="00730707" w:rsidRPr="009D4E09" w:rsidTr="009D4E09">
        <w:trPr>
          <w:trHeight w:val="213"/>
        </w:trPr>
        <w:tc>
          <w:tcPr>
            <w:tcW w:w="4535" w:type="dxa"/>
            <w:shd w:val="clear" w:color="auto" w:fill="auto"/>
          </w:tcPr>
          <w:p w:rsidR="00730707" w:rsidRPr="003A410A" w:rsidRDefault="00730707" w:rsidP="009D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 Vega</w:t>
            </w:r>
          </w:p>
        </w:tc>
        <w:tc>
          <w:tcPr>
            <w:tcW w:w="4536" w:type="dxa"/>
            <w:shd w:val="clear" w:color="auto" w:fill="auto"/>
          </w:tcPr>
          <w:p w:rsidR="00730707" w:rsidRPr="003A410A" w:rsidRDefault="00011C3C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Monte Plata</w:t>
            </w:r>
          </w:p>
        </w:tc>
      </w:tr>
      <w:tr w:rsidR="00730707" w:rsidRPr="009D4E09" w:rsidTr="009D4E09">
        <w:trPr>
          <w:trHeight w:val="213"/>
        </w:trPr>
        <w:tc>
          <w:tcPr>
            <w:tcW w:w="4535" w:type="dxa"/>
            <w:shd w:val="clear" w:color="auto" w:fill="auto"/>
          </w:tcPr>
          <w:p w:rsidR="00730707" w:rsidRPr="003A410A" w:rsidRDefault="00011C3C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Monseñor Nouel</w:t>
            </w:r>
          </w:p>
        </w:tc>
        <w:tc>
          <w:tcPr>
            <w:tcW w:w="4536" w:type="dxa"/>
            <w:shd w:val="clear" w:color="auto" w:fill="auto"/>
          </w:tcPr>
          <w:p w:rsidR="00730707" w:rsidRPr="003A410A" w:rsidRDefault="00011C3C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Hato Mayor</w:t>
            </w:r>
          </w:p>
        </w:tc>
      </w:tr>
      <w:tr w:rsidR="00011C3C" w:rsidRPr="009D4E09" w:rsidTr="009D4E09">
        <w:trPr>
          <w:trHeight w:val="177"/>
        </w:trPr>
        <w:tc>
          <w:tcPr>
            <w:tcW w:w="4535" w:type="dxa"/>
            <w:shd w:val="clear" w:color="auto" w:fill="auto"/>
          </w:tcPr>
          <w:p w:rsidR="00011C3C" w:rsidRPr="009D4E09" w:rsidRDefault="0022311E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4E09">
              <w:rPr>
                <w:rFonts w:ascii="Arial" w:hAnsi="Arial" w:cs="Arial"/>
                <w:b/>
                <w:bCs/>
                <w:sz w:val="18"/>
                <w:szCs w:val="18"/>
              </w:rPr>
              <w:t>Dajabón</w:t>
            </w:r>
          </w:p>
        </w:tc>
        <w:tc>
          <w:tcPr>
            <w:tcW w:w="4536" w:type="dxa"/>
            <w:shd w:val="clear" w:color="auto" w:fill="auto"/>
          </w:tcPr>
          <w:p w:rsidR="00011C3C" w:rsidRPr="009D4E09" w:rsidRDefault="0022311E" w:rsidP="009D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4E09">
              <w:rPr>
                <w:rFonts w:ascii="Arial" w:hAnsi="Arial" w:cs="Arial"/>
                <w:b/>
                <w:bCs/>
                <w:sz w:val="18"/>
                <w:szCs w:val="18"/>
              </w:rPr>
              <w:t>Santiago Rodríguez</w:t>
            </w:r>
          </w:p>
        </w:tc>
      </w:tr>
      <w:tr w:rsidR="00C21C32" w:rsidRPr="009D4E09" w:rsidTr="009D4E09">
        <w:trPr>
          <w:trHeight w:val="177"/>
        </w:trPr>
        <w:tc>
          <w:tcPr>
            <w:tcW w:w="4535" w:type="dxa"/>
            <w:shd w:val="clear" w:color="auto" w:fill="auto"/>
          </w:tcPr>
          <w:p w:rsidR="00C21C32" w:rsidRPr="009D4E09" w:rsidRDefault="00C21C32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Duarte (</w:t>
            </w:r>
            <w:r w:rsidR="004E5DAD">
              <w:rPr>
                <w:rFonts w:ascii="Arial" w:hAnsi="Arial" w:cs="Arial"/>
                <w:b/>
                <w:bCs/>
                <w:sz w:val="18"/>
                <w:szCs w:val="18"/>
              </w:rPr>
              <w:t>en especial el 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ajo Yuna)</w:t>
            </w:r>
          </w:p>
        </w:tc>
        <w:tc>
          <w:tcPr>
            <w:tcW w:w="4536" w:type="dxa"/>
            <w:shd w:val="clear" w:color="auto" w:fill="auto"/>
          </w:tcPr>
          <w:p w:rsidR="00C21C32" w:rsidRPr="009D4E09" w:rsidRDefault="00C21C32" w:rsidP="009D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Sánchez Ramírez</w:t>
            </w:r>
          </w:p>
        </w:tc>
      </w:tr>
      <w:tr w:rsidR="00C21C32" w:rsidRPr="009D4E09" w:rsidTr="009D4E09">
        <w:trPr>
          <w:trHeight w:val="177"/>
        </w:trPr>
        <w:tc>
          <w:tcPr>
            <w:tcW w:w="4535" w:type="dxa"/>
            <w:shd w:val="clear" w:color="auto" w:fill="auto"/>
          </w:tcPr>
          <w:p w:rsidR="00C21C32" w:rsidRPr="009D4E09" w:rsidRDefault="00C21C32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Samaná </w:t>
            </w:r>
          </w:p>
        </w:tc>
        <w:tc>
          <w:tcPr>
            <w:tcW w:w="4536" w:type="dxa"/>
            <w:shd w:val="clear" w:color="auto" w:fill="auto"/>
          </w:tcPr>
          <w:p w:rsidR="00C21C32" w:rsidRPr="009D4E09" w:rsidRDefault="00C21C32" w:rsidP="009D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María trinidad Sánchez</w:t>
            </w:r>
          </w:p>
        </w:tc>
      </w:tr>
      <w:tr w:rsidR="00730707" w:rsidRPr="009D4E09" w:rsidTr="009D4E09">
        <w:trPr>
          <w:trHeight w:val="230"/>
        </w:trPr>
        <w:tc>
          <w:tcPr>
            <w:tcW w:w="9071" w:type="dxa"/>
            <w:gridSpan w:val="2"/>
            <w:shd w:val="clear" w:color="auto" w:fill="B8CCE4" w:themeFill="accent1" w:themeFillTint="66"/>
          </w:tcPr>
          <w:p w:rsidR="00730707" w:rsidRPr="009D4E09" w:rsidRDefault="00730707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4E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  </w:t>
            </w:r>
            <w:r w:rsidR="00C21C3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</w:tbl>
    <w:p w:rsidR="0022311E" w:rsidRPr="009D4E09" w:rsidRDefault="00AA4F27" w:rsidP="009D4E09">
      <w:pPr>
        <w:rPr>
          <w:rFonts w:ascii="Arial" w:hAnsi="Arial" w:cs="Arial"/>
          <w:b/>
          <w:bCs/>
          <w:sz w:val="18"/>
          <w:szCs w:val="18"/>
        </w:rPr>
      </w:pPr>
      <w:r w:rsidRPr="009D4E09"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</w:p>
    <w:p w:rsidR="0022311E" w:rsidRPr="001005E8" w:rsidRDefault="0022311E" w:rsidP="00730707">
      <w:pPr>
        <w:pStyle w:val="ochabulletpoint"/>
        <w:numPr>
          <w:ilvl w:val="0"/>
          <w:numId w:val="0"/>
        </w:numPr>
        <w:spacing w:after="0"/>
        <w:jc w:val="both"/>
        <w:rPr>
          <w:rFonts w:eastAsia="Times New Roman" w:cs="Arial"/>
          <w:b/>
          <w:color w:val="auto"/>
          <w:szCs w:val="20"/>
          <w:lang w:val="es-ES" w:eastAsia="es-DO"/>
        </w:rPr>
      </w:pPr>
    </w:p>
    <w:tbl>
      <w:tblPr>
        <w:tblpPr w:leftFromText="141" w:rightFromText="141" w:vertAnchor="text" w:horzAnchor="margin" w:tblpY="-14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6308"/>
      </w:tblGrid>
      <w:tr w:rsidR="00730707" w:rsidRPr="00BA73A7" w:rsidTr="008B499E">
        <w:trPr>
          <w:trHeight w:val="157"/>
        </w:trPr>
        <w:tc>
          <w:tcPr>
            <w:tcW w:w="2731" w:type="dxa"/>
            <w:shd w:val="clear" w:color="auto" w:fill="00B050"/>
          </w:tcPr>
          <w:p w:rsidR="00730707" w:rsidRPr="00BA73A7" w:rsidRDefault="00730707" w:rsidP="008B499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30707" w:rsidRPr="00BA73A7" w:rsidRDefault="00730707" w:rsidP="008B499E">
            <w:pPr>
              <w:jc w:val="center"/>
              <w:rPr>
                <w:rFonts w:cs="Arial"/>
                <w:sz w:val="16"/>
                <w:szCs w:val="16"/>
              </w:rPr>
            </w:pPr>
            <w:r w:rsidRPr="00BA73A7">
              <w:rPr>
                <w:rFonts w:cs="Arial"/>
                <w:sz w:val="16"/>
                <w:szCs w:val="16"/>
              </w:rPr>
              <w:t>ALERTA VERDE</w:t>
            </w:r>
          </w:p>
        </w:tc>
        <w:tc>
          <w:tcPr>
            <w:tcW w:w="6308" w:type="dxa"/>
            <w:shd w:val="clear" w:color="auto" w:fill="auto"/>
          </w:tcPr>
          <w:p w:rsidR="00730707" w:rsidRPr="003A410A" w:rsidRDefault="00730707" w:rsidP="008B499E">
            <w:pPr>
              <w:pStyle w:val="Lista2"/>
              <w:spacing w:line="276" w:lineRule="auto"/>
              <w:ind w:left="0" w:right="219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10A">
              <w:rPr>
                <w:rFonts w:ascii="Arial" w:hAnsi="Arial" w:cs="Arial"/>
                <w:sz w:val="18"/>
                <w:szCs w:val="18"/>
              </w:rPr>
              <w:t>Aquella que se declara cuando las expectativas de un fenómeno permiten prever la ocurrencia de un evento de carácter peligroso para la población. Puede ser parcial o total.</w:t>
            </w:r>
          </w:p>
        </w:tc>
      </w:tr>
    </w:tbl>
    <w:p w:rsidR="00236C53" w:rsidRDefault="00236C53" w:rsidP="008D5B40">
      <w:pPr>
        <w:pStyle w:val="Normal1"/>
        <w:ind w:right="-992"/>
        <w:jc w:val="both"/>
        <w:rPr>
          <w:sz w:val="18"/>
          <w:szCs w:val="18"/>
        </w:rPr>
      </w:pPr>
    </w:p>
    <w:p w:rsidR="00730707" w:rsidRDefault="00730707" w:rsidP="00730707">
      <w:pPr>
        <w:jc w:val="both"/>
        <w:rPr>
          <w:rFonts w:cs="Arial"/>
          <w:b/>
          <w:sz w:val="18"/>
          <w:szCs w:val="18"/>
        </w:rPr>
      </w:pPr>
      <w:r w:rsidRPr="00962310">
        <w:rPr>
          <w:rFonts w:cs="Arial"/>
          <w:b/>
          <w:sz w:val="18"/>
          <w:szCs w:val="18"/>
        </w:rPr>
        <w:t xml:space="preserve">ACCIONES QUE DEBE OBSERVAR LA POBLACION  </w:t>
      </w:r>
    </w:p>
    <w:p w:rsidR="00730707" w:rsidRPr="00E62ABA" w:rsidRDefault="00730707" w:rsidP="00730707">
      <w:pPr>
        <w:jc w:val="both"/>
        <w:rPr>
          <w:rFonts w:cs="Arial"/>
          <w:b/>
          <w:sz w:val="20"/>
          <w:szCs w:val="20"/>
        </w:rPr>
      </w:pPr>
    </w:p>
    <w:p w:rsidR="00730707" w:rsidRPr="00035FC0" w:rsidRDefault="00730707" w:rsidP="00730707">
      <w:pPr>
        <w:numPr>
          <w:ilvl w:val="0"/>
          <w:numId w:val="5"/>
        </w:numPr>
        <w:ind w:right="219"/>
        <w:jc w:val="both"/>
        <w:rPr>
          <w:rFonts w:ascii="Arial" w:hAnsi="Arial" w:cs="Arial"/>
          <w:sz w:val="16"/>
          <w:szCs w:val="16"/>
        </w:rPr>
      </w:pPr>
      <w:r w:rsidRPr="00035FC0">
        <w:rPr>
          <w:rFonts w:ascii="Arial" w:hAnsi="Arial" w:cs="Arial"/>
          <w:sz w:val="16"/>
          <w:szCs w:val="16"/>
        </w:rPr>
        <w:t>Seguir los lineamientos y orientaciones de los organismos de protección civil.</w:t>
      </w:r>
    </w:p>
    <w:p w:rsidR="00730707" w:rsidRPr="00035FC0" w:rsidRDefault="00730707" w:rsidP="00730707">
      <w:pPr>
        <w:pStyle w:val="Lista2"/>
        <w:numPr>
          <w:ilvl w:val="0"/>
          <w:numId w:val="5"/>
        </w:numPr>
        <w:ind w:right="219"/>
        <w:jc w:val="both"/>
        <w:rPr>
          <w:rFonts w:ascii="Arial" w:hAnsi="Arial" w:cs="Arial"/>
          <w:sz w:val="16"/>
          <w:szCs w:val="16"/>
        </w:rPr>
      </w:pPr>
      <w:r w:rsidRPr="00035FC0">
        <w:rPr>
          <w:rFonts w:ascii="Arial" w:hAnsi="Arial" w:cs="Arial"/>
          <w:sz w:val="16"/>
          <w:szCs w:val="16"/>
        </w:rPr>
        <w:t xml:space="preserve">Mantenerse en contacto con la Defensa Civil, Fuerzas Armadas, Cruz Roja, la Policía Nacional, Cuerpos de Bomberos y este Centro de Operaciones de Emergencia a través </w:t>
      </w:r>
      <w:r w:rsidR="00035FC0" w:rsidRPr="00035FC0">
        <w:rPr>
          <w:rFonts w:ascii="Arial" w:hAnsi="Arial" w:cs="Arial"/>
          <w:sz w:val="16"/>
          <w:szCs w:val="16"/>
        </w:rPr>
        <w:t>del Tel</w:t>
      </w:r>
      <w:r w:rsidRPr="00035FC0">
        <w:rPr>
          <w:rFonts w:ascii="Arial" w:hAnsi="Arial" w:cs="Arial"/>
          <w:sz w:val="16"/>
          <w:szCs w:val="16"/>
        </w:rPr>
        <w:t>: 809-472-</w:t>
      </w:r>
      <w:proofErr w:type="gramStart"/>
      <w:r w:rsidRPr="00035FC0">
        <w:rPr>
          <w:rFonts w:ascii="Arial" w:hAnsi="Arial" w:cs="Arial"/>
          <w:sz w:val="16"/>
          <w:szCs w:val="16"/>
        </w:rPr>
        <w:t>0909 ,</w:t>
      </w:r>
      <w:proofErr w:type="gramEnd"/>
      <w:r w:rsidRPr="00035FC0">
        <w:rPr>
          <w:rFonts w:ascii="Arial" w:hAnsi="Arial" w:cs="Arial"/>
          <w:sz w:val="16"/>
          <w:szCs w:val="16"/>
        </w:rPr>
        <w:t xml:space="preserve"> *462 de la OPTIC.</w:t>
      </w:r>
    </w:p>
    <w:p w:rsidR="00730707" w:rsidRPr="00035FC0" w:rsidRDefault="00730707" w:rsidP="00730707">
      <w:pPr>
        <w:numPr>
          <w:ilvl w:val="0"/>
          <w:numId w:val="5"/>
        </w:numPr>
        <w:ind w:right="219"/>
        <w:jc w:val="both"/>
        <w:rPr>
          <w:rFonts w:ascii="Arial" w:hAnsi="Arial" w:cs="Arial"/>
          <w:sz w:val="16"/>
          <w:szCs w:val="16"/>
        </w:rPr>
      </w:pPr>
      <w:r w:rsidRPr="00035FC0">
        <w:rPr>
          <w:rFonts w:ascii="Arial" w:hAnsi="Arial" w:cs="Arial"/>
          <w:sz w:val="16"/>
          <w:szCs w:val="16"/>
        </w:rPr>
        <w:t>Ante la ocurrencia de aguaceros, los residentes en zonas de alto riesgo que habitan próximo a ríos, arroyos y cañadas deben de estar atentos y tomar las medidas de precaución necesarias ante posibles crecidas e inundaciones repentinas.</w:t>
      </w:r>
    </w:p>
    <w:p w:rsidR="005F5605" w:rsidRPr="00696FDD" w:rsidRDefault="00730707" w:rsidP="00696FDD">
      <w:pPr>
        <w:numPr>
          <w:ilvl w:val="0"/>
          <w:numId w:val="5"/>
        </w:numPr>
        <w:ind w:right="219"/>
        <w:jc w:val="both"/>
        <w:rPr>
          <w:rFonts w:ascii="Arial" w:hAnsi="Arial" w:cs="Arial"/>
          <w:sz w:val="16"/>
          <w:szCs w:val="16"/>
        </w:rPr>
      </w:pPr>
      <w:r w:rsidRPr="00035FC0">
        <w:rPr>
          <w:rFonts w:ascii="Arial" w:hAnsi="Arial" w:cs="Arial"/>
          <w:sz w:val="16"/>
          <w:szCs w:val="16"/>
        </w:rPr>
        <w:t>Las personas deben abstenerse de cruzar ríos, arroyos y cañadas que presenten alto volúmenes de agua.</w:t>
      </w:r>
    </w:p>
    <w:p w:rsidR="00035FC0" w:rsidRDefault="00035FC0" w:rsidP="00236C53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</w:p>
    <w:p w:rsidR="00236C53" w:rsidRDefault="00236C53" w:rsidP="00236C53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JUAN MANUEL MENDEZ GARCIA, </w:t>
      </w:r>
    </w:p>
    <w:p w:rsidR="00236C53" w:rsidRDefault="00236C53" w:rsidP="00236C53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Mayor General </w:t>
      </w:r>
      <w:r w:rsidR="008D5B40">
        <w:rPr>
          <w:rFonts w:ascii="Arial" w:eastAsia="Arial" w:hAnsi="Arial" w:cs="Arial"/>
          <w:b/>
          <w:sz w:val="20"/>
          <w:szCs w:val="20"/>
        </w:rPr>
        <w:t>® E.R.D.</w:t>
      </w:r>
    </w:p>
    <w:p w:rsidR="00236C53" w:rsidRDefault="00236C53" w:rsidP="00236C53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 xml:space="preserve">       Director General </w:t>
      </w:r>
      <w:r w:rsidR="00035FC0">
        <w:rPr>
          <w:rFonts w:ascii="Arial" w:eastAsia="Arial" w:hAnsi="Arial" w:cs="Arial"/>
          <w:b/>
          <w:sz w:val="20"/>
          <w:szCs w:val="20"/>
        </w:rPr>
        <w:t>del Centro</w:t>
      </w:r>
      <w:r>
        <w:rPr>
          <w:rFonts w:ascii="Arial" w:eastAsia="Arial" w:hAnsi="Arial" w:cs="Arial"/>
          <w:b/>
          <w:sz w:val="20"/>
          <w:szCs w:val="20"/>
        </w:rPr>
        <w:t xml:space="preserve"> de Operaciones de Emergencias “COE</w:t>
      </w:r>
      <w:r>
        <w:rPr>
          <w:rFonts w:ascii="Arial" w:eastAsia="Arial" w:hAnsi="Arial" w:cs="Arial"/>
          <w:b/>
          <w:i/>
        </w:rPr>
        <w:t>”</w:t>
      </w:r>
    </w:p>
    <w:p w:rsidR="00FD27FD" w:rsidRDefault="00FD27FD" w:rsidP="00236C53">
      <w:pPr>
        <w:pStyle w:val="Normal1"/>
        <w:ind w:right="-51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FD27FD" w:rsidSect="00FD27FD">
      <w:headerReference w:type="default" r:id="rId10"/>
      <w:footerReference w:type="default" r:id="rId11"/>
      <w:pgSz w:w="11906" w:h="16838"/>
      <w:pgMar w:top="1418" w:right="1841" w:bottom="1418" w:left="902" w:header="709" w:footer="10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EA" w:rsidRDefault="008E67EA" w:rsidP="00FD27FD">
      <w:r>
        <w:separator/>
      </w:r>
    </w:p>
  </w:endnote>
  <w:endnote w:type="continuationSeparator" w:id="0">
    <w:p w:rsidR="008E67EA" w:rsidRDefault="008E67EA" w:rsidP="00FD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FD" w:rsidRDefault="001E2F2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C/Ortega y Gasset con Pepillo Salcedo, Plaza de la Salud, 1era. Planta – Teléfonos (809)472-0909- Fax: (809)472-8624</w:t>
    </w:r>
  </w:p>
  <w:p w:rsidR="00FD27FD" w:rsidRDefault="001E2F2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Página Web: www.coe.gov.do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EA" w:rsidRDefault="008E67EA" w:rsidP="00FD27FD">
      <w:r>
        <w:separator/>
      </w:r>
    </w:p>
  </w:footnote>
  <w:footnote w:type="continuationSeparator" w:id="0">
    <w:p w:rsidR="008E67EA" w:rsidRDefault="008E67EA" w:rsidP="00FD2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FD" w:rsidRDefault="00FD27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D27FD" w:rsidRDefault="00FD27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D27FD" w:rsidRDefault="00FD27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D27FD" w:rsidRDefault="00FD27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FD27FD" w:rsidRDefault="00FD27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326"/>
    <w:multiLevelType w:val="hybridMultilevel"/>
    <w:tmpl w:val="992CCFC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09CE"/>
    <w:multiLevelType w:val="hybridMultilevel"/>
    <w:tmpl w:val="D7C643C8"/>
    <w:lvl w:ilvl="0" w:tplc="1C0A0001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0B55"/>
    <w:multiLevelType w:val="multilevel"/>
    <w:tmpl w:val="C560AED6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43386"/>
    <w:multiLevelType w:val="hybridMultilevel"/>
    <w:tmpl w:val="95A21474"/>
    <w:lvl w:ilvl="0" w:tplc="2C10CB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32054F"/>
    <w:multiLevelType w:val="multilevel"/>
    <w:tmpl w:val="7040A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7FD"/>
    <w:rsid w:val="00011C3C"/>
    <w:rsid w:val="0001592A"/>
    <w:rsid w:val="00035FC0"/>
    <w:rsid w:val="000369FB"/>
    <w:rsid w:val="00096069"/>
    <w:rsid w:val="000A29B2"/>
    <w:rsid w:val="000B7758"/>
    <w:rsid w:val="000C2F84"/>
    <w:rsid w:val="000F5233"/>
    <w:rsid w:val="001005E8"/>
    <w:rsid w:val="00135866"/>
    <w:rsid w:val="001608FA"/>
    <w:rsid w:val="0019632B"/>
    <w:rsid w:val="001A1734"/>
    <w:rsid w:val="001B7D23"/>
    <w:rsid w:val="001C12AF"/>
    <w:rsid w:val="001E1B31"/>
    <w:rsid w:val="001E2F24"/>
    <w:rsid w:val="001E7A5C"/>
    <w:rsid w:val="00211C9D"/>
    <w:rsid w:val="002223F7"/>
    <w:rsid w:val="0022311E"/>
    <w:rsid w:val="002260A7"/>
    <w:rsid w:val="00236C53"/>
    <w:rsid w:val="002664DB"/>
    <w:rsid w:val="00273DED"/>
    <w:rsid w:val="002838C1"/>
    <w:rsid w:val="002A2AB7"/>
    <w:rsid w:val="002B24B7"/>
    <w:rsid w:val="00350063"/>
    <w:rsid w:val="003E6AEA"/>
    <w:rsid w:val="0040124F"/>
    <w:rsid w:val="00417581"/>
    <w:rsid w:val="00417B92"/>
    <w:rsid w:val="00441B34"/>
    <w:rsid w:val="00446805"/>
    <w:rsid w:val="00447B29"/>
    <w:rsid w:val="004533E1"/>
    <w:rsid w:val="004638C6"/>
    <w:rsid w:val="0047086B"/>
    <w:rsid w:val="0047254A"/>
    <w:rsid w:val="004E5DAD"/>
    <w:rsid w:val="00504329"/>
    <w:rsid w:val="00535A00"/>
    <w:rsid w:val="00551B1D"/>
    <w:rsid w:val="00574E40"/>
    <w:rsid w:val="005F5605"/>
    <w:rsid w:val="005F5BE8"/>
    <w:rsid w:val="006156AC"/>
    <w:rsid w:val="006162E7"/>
    <w:rsid w:val="00663B1E"/>
    <w:rsid w:val="00666422"/>
    <w:rsid w:val="00666FBE"/>
    <w:rsid w:val="00696FDD"/>
    <w:rsid w:val="006E74C2"/>
    <w:rsid w:val="00716356"/>
    <w:rsid w:val="00730707"/>
    <w:rsid w:val="007953A0"/>
    <w:rsid w:val="007A1197"/>
    <w:rsid w:val="007E6F31"/>
    <w:rsid w:val="00826A76"/>
    <w:rsid w:val="008323A8"/>
    <w:rsid w:val="00880E8E"/>
    <w:rsid w:val="00884332"/>
    <w:rsid w:val="008B4136"/>
    <w:rsid w:val="008B72F1"/>
    <w:rsid w:val="008D5B40"/>
    <w:rsid w:val="008E67EA"/>
    <w:rsid w:val="008F48EB"/>
    <w:rsid w:val="00901ADB"/>
    <w:rsid w:val="009207A3"/>
    <w:rsid w:val="00926CD3"/>
    <w:rsid w:val="00927EE9"/>
    <w:rsid w:val="00943E81"/>
    <w:rsid w:val="0095140E"/>
    <w:rsid w:val="0095440D"/>
    <w:rsid w:val="0096473C"/>
    <w:rsid w:val="00976D46"/>
    <w:rsid w:val="009A7775"/>
    <w:rsid w:val="009C4214"/>
    <w:rsid w:val="009D29D2"/>
    <w:rsid w:val="009D3DB5"/>
    <w:rsid w:val="009D4E09"/>
    <w:rsid w:val="00A0597D"/>
    <w:rsid w:val="00A11B20"/>
    <w:rsid w:val="00A154ED"/>
    <w:rsid w:val="00A40480"/>
    <w:rsid w:val="00A85B7D"/>
    <w:rsid w:val="00AA4F27"/>
    <w:rsid w:val="00AE48B5"/>
    <w:rsid w:val="00AF3168"/>
    <w:rsid w:val="00B143E3"/>
    <w:rsid w:val="00B55413"/>
    <w:rsid w:val="00B5676A"/>
    <w:rsid w:val="00BE0B7D"/>
    <w:rsid w:val="00BF46C8"/>
    <w:rsid w:val="00C0309D"/>
    <w:rsid w:val="00C05E0F"/>
    <w:rsid w:val="00C21C32"/>
    <w:rsid w:val="00C60E9A"/>
    <w:rsid w:val="00C80DC6"/>
    <w:rsid w:val="00C80F7A"/>
    <w:rsid w:val="00C81673"/>
    <w:rsid w:val="00CD23CE"/>
    <w:rsid w:val="00CE648C"/>
    <w:rsid w:val="00D01122"/>
    <w:rsid w:val="00D124F7"/>
    <w:rsid w:val="00D24AC0"/>
    <w:rsid w:val="00DA0166"/>
    <w:rsid w:val="00DB4AA2"/>
    <w:rsid w:val="00DF7822"/>
    <w:rsid w:val="00E00022"/>
    <w:rsid w:val="00E259F3"/>
    <w:rsid w:val="00E26CB3"/>
    <w:rsid w:val="00E30C1F"/>
    <w:rsid w:val="00EA455E"/>
    <w:rsid w:val="00EB03DE"/>
    <w:rsid w:val="00ED1C6C"/>
    <w:rsid w:val="00F12EE6"/>
    <w:rsid w:val="00F202FF"/>
    <w:rsid w:val="00F42FC9"/>
    <w:rsid w:val="00F450B6"/>
    <w:rsid w:val="00FC5120"/>
    <w:rsid w:val="00FD27FD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63FAD1-1822-407B-A6A9-DCD83853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97"/>
  </w:style>
  <w:style w:type="paragraph" w:styleId="Ttulo1">
    <w:name w:val="heading 1"/>
    <w:basedOn w:val="Normal1"/>
    <w:next w:val="Normal1"/>
    <w:rsid w:val="00FD27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D27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D27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D27F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D27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D27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D27FD"/>
  </w:style>
  <w:style w:type="table" w:customStyle="1" w:styleId="TableNormal">
    <w:name w:val="Table Normal"/>
    <w:rsid w:val="00FD2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D27F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D27FD"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rsid w:val="00FD27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FD27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FD27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6156AC"/>
    <w:pPr>
      <w:spacing w:before="100" w:beforeAutospacing="1" w:after="100" w:afterAutospacing="1"/>
    </w:pPr>
    <w:rPr>
      <w:lang w:val="es-DO"/>
    </w:rPr>
  </w:style>
  <w:style w:type="paragraph" w:customStyle="1" w:styleId="ochabulletpoint">
    <w:name w:val="ocha_bullet_point"/>
    <w:qFormat/>
    <w:rsid w:val="006162E7"/>
    <w:pPr>
      <w:numPr>
        <w:numId w:val="3"/>
      </w:numPr>
      <w:spacing w:before="100" w:after="100"/>
      <w:contextualSpacing/>
    </w:pPr>
    <w:rPr>
      <w:rFonts w:ascii="Arial" w:eastAsia="PMingLiU" w:hAnsi="Arial"/>
      <w:color w:val="404040"/>
      <w:sz w:val="20"/>
      <w:lang w:val="en-US" w:eastAsia="zh-TW"/>
    </w:rPr>
  </w:style>
  <w:style w:type="paragraph" w:styleId="Prrafodelista">
    <w:name w:val="List Paragraph"/>
    <w:basedOn w:val="Normal"/>
    <w:uiPriority w:val="34"/>
    <w:qFormat/>
    <w:rsid w:val="006162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S" w:eastAsia="en-US"/>
    </w:rPr>
  </w:style>
  <w:style w:type="paragraph" w:styleId="Lista2">
    <w:name w:val="List 2"/>
    <w:basedOn w:val="Normal"/>
    <w:rsid w:val="00730707"/>
    <w:pPr>
      <w:ind w:left="566" w:hanging="283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F215-5734-4DF9-800E-B8B89354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OPTIPLEX7050</dc:creator>
  <cp:lastModifiedBy>HPy</cp:lastModifiedBy>
  <cp:revision>2</cp:revision>
  <cp:lastPrinted>2021-06-04T18:31:00Z</cp:lastPrinted>
  <dcterms:created xsi:type="dcterms:W3CDTF">2021-09-11T15:39:00Z</dcterms:created>
  <dcterms:modified xsi:type="dcterms:W3CDTF">2021-09-11T15:39:00Z</dcterms:modified>
</cp:coreProperties>
</file>